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384B" w14:textId="77777777" w:rsidR="007E057A" w:rsidRPr="007309E6" w:rsidRDefault="007E057A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u w:val="single"/>
          <w:lang w:eastAsia="en-IN"/>
        </w:rPr>
      </w:pPr>
      <w:r w:rsidRPr="007309E6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u w:val="single"/>
          <w:lang w:eastAsia="en-IN"/>
        </w:rPr>
        <w:t>Thermophilic enzymes</w:t>
      </w:r>
    </w:p>
    <w:p w14:paraId="1425833F" w14:textId="2C143093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proofErr w:type="spellStart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>Taq</w:t>
      </w:r>
      <w:proofErr w:type="spellEnd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 xml:space="preserve"> Polymerase</w:t>
      </w:r>
    </w:p>
    <w:p w14:paraId="1FC6AA55" w14:textId="77777777" w:rsidR="00D13032" w:rsidRPr="00D13032" w:rsidRDefault="002730FE" w:rsidP="00D1303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First isolated from the bacterial thermophile </w:t>
      </w:r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Thermus aquaticus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, the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has become the staple enzyme in molecular biology. Commercial producers have since cloned and expressed the enzyme in </w:t>
      </w:r>
      <w:r w:rsidRPr="00D13032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E. coli.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 </w:t>
      </w:r>
    </w:p>
    <w:p w14:paraId="32F36B00" w14:textId="77777777" w:rsidR="00D13032" w:rsidRPr="00D13032" w:rsidRDefault="002730FE" w:rsidP="00D1303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Recombinant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is a 94-kDa enzyme with an optimal 5’-3’ polymerase activity between 75-80 °C in the presence of a magnesium cofactor.  </w:t>
      </w:r>
    </w:p>
    <w:p w14:paraId="6348A07B" w14:textId="77777777" w:rsidR="00D13032" w:rsidRPr="00D13032" w:rsidRDefault="002730FE" w:rsidP="00D1303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At 72 °C it can replicate a DNA strand of 1000 base pairs in less than 10 seconds. </w:t>
      </w:r>
    </w:p>
    <w:p w14:paraId="1194F1D5" w14:textId="77777777" w:rsidR="00D13032" w:rsidRPr="00D13032" w:rsidRDefault="002730FE" w:rsidP="00D1303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lacks 3’-5’ exonuclease activity and is prone to errors at a rate around 1 per 3,700 bases. Aside from PCR,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is also widely used in TA cloning due to its ability to leave 3’ overhangs. </w:t>
      </w:r>
    </w:p>
    <w:p w14:paraId="7E5D7149" w14:textId="74418B96" w:rsidR="002730FE" w:rsidRPr="00D13032" w:rsidRDefault="002730FE" w:rsidP="00D1303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Some commercial modifications to consider include: “High Fidelity” with the recombinant addition of a 3’-5’ proofreading activity, and a “Hot Start” feature to reduce non-specific amplification.</w:t>
      </w:r>
    </w:p>
    <w:p w14:paraId="34AEA415" w14:textId="77777777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br/>
        <w:t>Pfu Polymerase</w:t>
      </w:r>
    </w:p>
    <w:p w14:paraId="2B1754DB" w14:textId="77777777" w:rsidR="00D13032" w:rsidRPr="00D13032" w:rsidRDefault="002730FE" w:rsidP="00D13032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Pfu Polymerase is a thermostable DNA polymerase isolated from the archaeal thermophile </w:t>
      </w:r>
      <w:proofErr w:type="spellStart"/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Pyrococcus</w:t>
      </w:r>
      <w:proofErr w:type="spellEnd"/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 xml:space="preserve"> </w:t>
      </w:r>
      <w:proofErr w:type="spellStart"/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furiosus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794B11AD" w14:textId="77777777" w:rsidR="00D13032" w:rsidRPr="00D13032" w:rsidRDefault="002730FE" w:rsidP="00D13032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The 90-kDa Pfu polymerase enzyme features a 3’-5’ exonuclease proofreading ability, allowing for higher fidelity than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1503C04D" w14:textId="77777777" w:rsidR="00D13032" w:rsidRPr="00D13032" w:rsidRDefault="002730FE" w:rsidP="00D13032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The error rate of Pfu has been reported to be at least 10-fold lower than that of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However, Pfu amplifies at a slower rate than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764927CA" w14:textId="59232E78" w:rsidR="002730FE" w:rsidRPr="00D13032" w:rsidRDefault="00D13032" w:rsidP="00D13032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Thus,</w:t>
      </w:r>
      <w:r w:rsidR="002730FE"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Pfu polymerase is suitable for DNA amplification applications requiring greater accuracy.</w:t>
      </w:r>
    </w:p>
    <w:p w14:paraId="05A79BD1" w14:textId="77777777" w:rsidR="00D13032" w:rsidRDefault="00D13032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</w:p>
    <w:p w14:paraId="34705A81" w14:textId="1CBC7A2C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proofErr w:type="spellStart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lastRenderedPageBreak/>
        <w:t>Pfx</w:t>
      </w:r>
      <w:proofErr w:type="spellEnd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 xml:space="preserve"> Polymerase</w:t>
      </w:r>
    </w:p>
    <w:p w14:paraId="1673D3EB" w14:textId="77777777" w:rsidR="00D13032" w:rsidRPr="00D13032" w:rsidRDefault="002730FE" w:rsidP="00D1303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Pfx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a commercial recombinant thermostable DNA polymerase. </w:t>
      </w:r>
    </w:p>
    <w:p w14:paraId="54AC32ED" w14:textId="6D2A9A71" w:rsidR="00D13032" w:rsidRPr="00D13032" w:rsidRDefault="002730FE" w:rsidP="00D1303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It features a 3’-5’ exonuclease activity and thus a reported higher fidelity than traditional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7EDFA762" w14:textId="0A114C63" w:rsidR="002730FE" w:rsidRPr="00D13032" w:rsidRDefault="002730FE" w:rsidP="00D1303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Some versions also feature a hot-start ability for improved PCR specificity.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Pfx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recommended for PCR applications that require high accuracy including site-directed mutagenesis and PCR expression cloning.</w:t>
      </w:r>
    </w:p>
    <w:p w14:paraId="0734076B" w14:textId="77777777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proofErr w:type="spellStart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>Bst</w:t>
      </w:r>
      <w:proofErr w:type="spellEnd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 xml:space="preserve"> Polymerase</w:t>
      </w:r>
    </w:p>
    <w:p w14:paraId="159B7751" w14:textId="77777777" w:rsidR="00D13032" w:rsidRPr="00D13032" w:rsidRDefault="002730FE" w:rsidP="00D1303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Bst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Polymerase, or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Bst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DNA Polymerase I, was isolated from </w:t>
      </w:r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Bacillus stearothermophilus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296EC1E5" w14:textId="77777777" w:rsidR="00D13032" w:rsidRPr="00D13032" w:rsidRDefault="002730FE" w:rsidP="00D1303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This 97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kDa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enzyme features a similar 5’-3’ polymerase activity of </w:t>
      </w:r>
      <w:r w:rsidRPr="00D13032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E. coli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, but lacks the 3’-5’ exonuclease activity. </w:t>
      </w:r>
    </w:p>
    <w:p w14:paraId="02A21111" w14:textId="083D0ED5" w:rsidR="002730FE" w:rsidRPr="00D13032" w:rsidRDefault="002730FE" w:rsidP="00D1303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Bst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recommended for applications such as Isothermal amplification (LAMP) and DNA sequencing through high GC regions.</w:t>
      </w:r>
    </w:p>
    <w:p w14:paraId="5A56F358" w14:textId="77777777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br/>
      </w:r>
      <w:proofErr w:type="spellStart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>Tfi</w:t>
      </w:r>
      <w:proofErr w:type="spellEnd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 xml:space="preserve"> Polymerase</w:t>
      </w:r>
    </w:p>
    <w:p w14:paraId="6F0F316B" w14:textId="77777777" w:rsidR="00D13032" w:rsidRPr="00D13032" w:rsidRDefault="002730FE" w:rsidP="00D1303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Tfi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a recombinant thermostable DNA polymerase originally isolated from </w:t>
      </w:r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 xml:space="preserve">Thermus </w:t>
      </w:r>
      <w:proofErr w:type="spellStart"/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filiformis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3C0114C0" w14:textId="77777777" w:rsidR="00D13032" w:rsidRPr="00D13032" w:rsidRDefault="002730FE" w:rsidP="00D1303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Similar to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, this 92-kDa enzyme has a 5’-3’ polymerase activity and lacks the proofreading 3’-5’ exonuclease capability. </w:t>
      </w:r>
    </w:p>
    <w:p w14:paraId="7D6FF2E4" w14:textId="77777777" w:rsidR="00D13032" w:rsidRPr="00D13032" w:rsidRDefault="002730FE" w:rsidP="00D1303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The optimum pH lies between 8.4 and 9.0, and the temperature between 70 to 72.5 °C. </w:t>
      </w:r>
    </w:p>
    <w:p w14:paraId="422952C1" w14:textId="1085F0B4" w:rsidR="002730FE" w:rsidRPr="00D13032" w:rsidRDefault="002730FE" w:rsidP="00D1303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The yield, specificity, and fidelity has been reported as comparable to </w:t>
      </w: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Taq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, and thus may serve as a less costly alternative.</w:t>
      </w:r>
    </w:p>
    <w:p w14:paraId="2F1DA90B" w14:textId="77777777" w:rsidR="00D13032" w:rsidRDefault="00D13032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bookmarkStart w:id="0" w:name="_GoBack"/>
      <w:bookmarkEnd w:id="0"/>
    </w:p>
    <w:p w14:paraId="66BBA5DD" w14:textId="0857E5F5" w:rsidR="002730FE" w:rsidRPr="007E057A" w:rsidRDefault="002730FE" w:rsidP="007E057A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</w:pPr>
      <w:proofErr w:type="spellStart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lastRenderedPageBreak/>
        <w:t>Tth</w:t>
      </w:r>
      <w:proofErr w:type="spellEnd"/>
      <w:r w:rsidRPr="007E057A">
        <w:rPr>
          <w:rFonts w:ascii="Times New Roman" w:eastAsia="Times New Roman" w:hAnsi="Times New Roman" w:cs="Times New Roman"/>
          <w:b/>
          <w:bCs/>
          <w:color w:val="252525"/>
          <w:spacing w:val="-15"/>
          <w:kern w:val="36"/>
          <w:sz w:val="28"/>
          <w:szCs w:val="28"/>
          <w:lang w:eastAsia="en-IN"/>
        </w:rPr>
        <w:t xml:space="preserve"> Polymerase</w:t>
      </w:r>
    </w:p>
    <w:p w14:paraId="0F6B4DA9" w14:textId="77777777" w:rsidR="00D13032" w:rsidRPr="00D13032" w:rsidRDefault="002730FE" w:rsidP="00D13032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proofErr w:type="spellStart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Tth</w:t>
      </w:r>
      <w:proofErr w:type="spellEnd"/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a thermostable DNA polymerase originally isolated from </w:t>
      </w:r>
      <w:r w:rsidRPr="00D13032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en-IN"/>
        </w:rPr>
        <w:t>Thermus thermophilus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. </w:t>
      </w:r>
    </w:p>
    <w:p w14:paraId="65A700E7" w14:textId="77777777" w:rsidR="00D13032" w:rsidRPr="00D13032" w:rsidRDefault="002730FE" w:rsidP="00D13032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It has a 5’-3’ polymerase activity, a 3’-5’ exonuclease activity, and, in the presence of Mn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eastAsia="en-IN"/>
        </w:rPr>
        <w:t>2+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, an additional reverse transcriptase activity. </w:t>
      </w:r>
    </w:p>
    <w:p w14:paraId="4BD4D9C9" w14:textId="77777777" w:rsidR="00D13032" w:rsidRPr="00D13032" w:rsidRDefault="002730FE" w:rsidP="00D13032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It is active at 74°C and can withstand up to 95°C. </w:t>
      </w:r>
    </w:p>
    <w:p w14:paraId="1D88E1F8" w14:textId="374ACE30" w:rsidR="002730FE" w:rsidRPr="00D13032" w:rsidRDefault="00A925B1" w:rsidP="00D13032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</w:pP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Thus,</w:t>
      </w:r>
      <w:r w:rsidR="002730FE"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in addition to amplifying DNA, its thermostable nature also makes it ideal in reverse transcription since higher temperatures can overcome secondary RNA structures. </w:t>
      </w:r>
      <w:r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Thus,</w:t>
      </w:r>
      <w:r w:rsidR="002730FE"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</w:t>
      </w:r>
      <w:proofErr w:type="spellStart"/>
      <w:r w:rsidR="002730FE"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>Tth</w:t>
      </w:r>
      <w:proofErr w:type="spellEnd"/>
      <w:r w:rsidR="002730FE" w:rsidRPr="00D13032">
        <w:rPr>
          <w:rFonts w:ascii="Times New Roman" w:eastAsia="Times New Roman" w:hAnsi="Times New Roman" w:cs="Times New Roman"/>
          <w:color w:val="363636"/>
          <w:sz w:val="28"/>
          <w:szCs w:val="28"/>
          <w:lang w:eastAsia="en-IN"/>
        </w:rPr>
        <w:t xml:space="preserve"> Polymerase is ideal in applications such as PCR, RT-PCR, reverse transcription and cDNA synthesis.</w:t>
      </w:r>
    </w:p>
    <w:p w14:paraId="3E0BFB7C" w14:textId="27519FAB" w:rsidR="00FC7C45" w:rsidRPr="007E057A" w:rsidRDefault="00FC7C45" w:rsidP="007E0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71BEC" w14:textId="77777777" w:rsidR="002730FE" w:rsidRPr="007E057A" w:rsidRDefault="002730FE" w:rsidP="007E05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0FE" w:rsidRPr="007E05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4386"/>
    <w:multiLevelType w:val="hybridMultilevel"/>
    <w:tmpl w:val="6A002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DC1"/>
    <w:multiLevelType w:val="hybridMultilevel"/>
    <w:tmpl w:val="B2141A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D38"/>
    <w:multiLevelType w:val="hybridMultilevel"/>
    <w:tmpl w:val="D50E0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2C48"/>
    <w:multiLevelType w:val="hybridMultilevel"/>
    <w:tmpl w:val="EE6E7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2BA9"/>
    <w:multiLevelType w:val="hybridMultilevel"/>
    <w:tmpl w:val="4C68B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7E1A"/>
    <w:multiLevelType w:val="hybridMultilevel"/>
    <w:tmpl w:val="E8689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E"/>
    <w:rsid w:val="000D424F"/>
    <w:rsid w:val="001D0F8B"/>
    <w:rsid w:val="002730FE"/>
    <w:rsid w:val="007309E6"/>
    <w:rsid w:val="007E057A"/>
    <w:rsid w:val="00A925B1"/>
    <w:rsid w:val="00D13032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A7A"/>
  <w15:chartTrackingRefBased/>
  <w15:docId w15:val="{0C844CF1-F168-46A3-9B51-365215CC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27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0F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7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2730FE"/>
    <w:rPr>
      <w:i/>
      <w:iCs/>
    </w:rPr>
  </w:style>
  <w:style w:type="paragraph" w:styleId="ListParagraph">
    <w:name w:val="List Paragraph"/>
    <w:basedOn w:val="Normal"/>
    <w:uiPriority w:val="34"/>
    <w:qFormat/>
    <w:rsid w:val="00D1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4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4</cp:revision>
  <dcterms:created xsi:type="dcterms:W3CDTF">2020-09-04T03:26:00Z</dcterms:created>
  <dcterms:modified xsi:type="dcterms:W3CDTF">2020-09-14T03:08:00Z</dcterms:modified>
</cp:coreProperties>
</file>